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79F5C" w14:textId="77777777" w:rsidR="00FA0633" w:rsidRPr="004C1683" w:rsidRDefault="00FA0633" w:rsidP="00FA063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>ANEXA 2</w:t>
      </w:r>
    </w:p>
    <w:p w14:paraId="32B93B67" w14:textId="77777777" w:rsidR="00FA0633" w:rsidRPr="004C1683" w:rsidRDefault="00FA0633" w:rsidP="00FA06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Ghid de acordare a burselor </w:t>
      </w:r>
    </w:p>
    <w:p w14:paraId="0728B3FD" w14:textId="77777777" w:rsidR="00FA0633" w:rsidRPr="004C1683" w:rsidRDefault="00FA0633" w:rsidP="00FA06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Preambul: </w:t>
      </w:r>
    </w:p>
    <w:p w14:paraId="3F8DB505" w14:textId="77777777" w:rsidR="00FA0633" w:rsidRPr="004C1683" w:rsidRDefault="00FA0633" w:rsidP="00FA06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Societatea URSUS BREWERIES S.A. sponsorizează acordarea unui număr de burse de studiu studenților, masteranzilor, liceenilor, în cadrul programului </w:t>
      </w: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>”Bursa URSUS – Studenți pentru Comunitate”</w:t>
      </w:r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. Acordarea acestor burse se realizează de către Beneficiar pe bază de concurs. Scopul concursului îl reprezintă selectarea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desemnarea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câştigătorilor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de burse URSUS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finanţate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din sponsorizarea acordată de Societatea URSUS BREWERIES S.A.</w:t>
      </w:r>
    </w:p>
    <w:p w14:paraId="3A665EED" w14:textId="77777777" w:rsidR="00FA0633" w:rsidRPr="004C1683" w:rsidRDefault="00FA0633" w:rsidP="00FA0633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Participarea </w:t>
      </w:r>
      <w:proofErr w:type="spellStart"/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înscrierea:</w:t>
      </w:r>
    </w:p>
    <w:p w14:paraId="04548956" w14:textId="1E844BEA" w:rsidR="00FA0633" w:rsidRPr="004C1683" w:rsidRDefault="00FA0633" w:rsidP="00FA063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La concursul de acordare a burselor nominale pot participa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studenţii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de la </w:t>
      </w:r>
      <w:r w:rsidRPr="00214783">
        <w:rPr>
          <w:rFonts w:ascii="Times New Roman" w:hAnsi="Times New Roman" w:cs="Times New Roman"/>
          <w:bCs/>
          <w:sz w:val="24"/>
          <w:szCs w:val="24"/>
          <w:lang w:val="ro-RO"/>
        </w:rPr>
        <w:t>Facultatea de Automatica si Calculatoare</w:t>
      </w:r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, Energetica si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ISB, </w:t>
      </w:r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din anul </w:t>
      </w:r>
      <w:r w:rsidRPr="00214783">
        <w:rPr>
          <w:rFonts w:ascii="Times New Roman" w:hAnsi="Times New Roman" w:cs="Times New Roman"/>
          <w:b/>
          <w:sz w:val="24"/>
          <w:szCs w:val="24"/>
          <w:lang w:val="ro-RO"/>
        </w:rPr>
        <w:t>1 nivel master</w:t>
      </w:r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(pentru masteratele care se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desfăşoară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pe parcursul a doi ani)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studenţii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aflaţi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Pr="002147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anul 2 nivel </w:t>
      </w:r>
      <w:proofErr w:type="spellStart"/>
      <w:r w:rsidRPr="00214783">
        <w:rPr>
          <w:rFonts w:ascii="Times New Roman" w:hAnsi="Times New Roman" w:cs="Times New Roman"/>
          <w:b/>
          <w:sz w:val="24"/>
          <w:szCs w:val="24"/>
          <w:lang w:val="ro-RO"/>
        </w:rPr>
        <w:t>licenţă</w:t>
      </w:r>
      <w:proofErr w:type="spellEnd"/>
      <w:r w:rsidRPr="002147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și anul 3 nivel licență</w:t>
      </w:r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214783">
        <w:rPr>
          <w:rFonts w:ascii="Times New Roman" w:hAnsi="Times New Roman" w:cs="Times New Roman"/>
          <w:b/>
          <w:sz w:val="24"/>
          <w:szCs w:val="24"/>
          <w:lang w:val="ro-RO"/>
        </w:rPr>
        <w:t>valabil pentru specializările care necesită 4 ani de studiu</w:t>
      </w:r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) si </w:t>
      </w:r>
      <w:r w:rsidRPr="00214783">
        <w:rPr>
          <w:rFonts w:ascii="Times New Roman" w:hAnsi="Times New Roman" w:cs="Times New Roman"/>
          <w:b/>
          <w:bCs/>
          <w:sz w:val="24"/>
          <w:szCs w:val="24"/>
          <w:lang w:val="ro-RO"/>
        </w:rPr>
        <w:t>elevii de liceu</w:t>
      </w:r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. La concurs pot participa doar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studenţii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integralişti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si elevii care au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obţinut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în semestrul precedent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desfăşurării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concursului </w:t>
      </w:r>
      <w:r w:rsidRPr="00214783">
        <w:rPr>
          <w:rFonts w:ascii="Times New Roman" w:hAnsi="Times New Roman" w:cs="Times New Roman"/>
          <w:b/>
          <w:sz w:val="24"/>
          <w:szCs w:val="24"/>
          <w:lang w:val="ro-RO"/>
        </w:rPr>
        <w:t>minimum media 8</w:t>
      </w:r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care au o conduită academică demonstrată printr-o scrisoare de recomandare din partea unui cadru didactic universitar. În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acelaşi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timp, studentul/ elevul trebuie să facă dovada unei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intense în beneficiul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comunităţii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printr-o scrisoare de motivare,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însoţită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de o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din partea fiecărei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organizaţii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în cadrul căreia a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desfăşurat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desfăşoară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acest tip de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Anunţul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de organizare a concursului, împreună cu calendarul de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desfăşurare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vor fi făcute publice prin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afişare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la avizier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electronic pe website-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 xml:space="preserve"> universității/ </w:t>
      </w:r>
      <w:proofErr w:type="spellStart"/>
      <w:r w:rsidRPr="00214783">
        <w:rPr>
          <w:rFonts w:ascii="Times New Roman" w:hAnsi="Times New Roman" w:cs="Times New Roman"/>
          <w:sz w:val="24"/>
          <w:szCs w:val="24"/>
          <w:lang w:val="ro-RO"/>
        </w:rPr>
        <w:t>facultatii</w:t>
      </w:r>
      <w:proofErr w:type="spellEnd"/>
      <w:r w:rsidRPr="00214783">
        <w:rPr>
          <w:rFonts w:ascii="Times New Roman" w:hAnsi="Times New Roman" w:cs="Times New Roman"/>
          <w:sz w:val="24"/>
          <w:szCs w:val="24"/>
          <w:lang w:val="ro-RO"/>
        </w:rPr>
        <w:t>/ unității școlare.</w:t>
      </w:r>
    </w:p>
    <w:p w14:paraId="3A25568C" w14:textId="77777777" w:rsidR="00FA0633" w:rsidRPr="004C1683" w:rsidRDefault="00FA0633" w:rsidP="00FA063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761C70" w14:textId="77777777" w:rsidR="00FA0633" w:rsidRPr="004C1683" w:rsidRDefault="00FA0633" w:rsidP="00FA0633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>Comisia de concurs:</w:t>
      </w:r>
    </w:p>
    <w:p w14:paraId="5F2DDDE3" w14:textId="77777777" w:rsidR="00FA0633" w:rsidRPr="004C1683" w:rsidRDefault="00FA0633" w:rsidP="00FA0633">
      <w:pPr>
        <w:numPr>
          <w:ilvl w:val="1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Comisia de concurs va fi numită prin Decizia Rectorului/ Decanului/ Directorului </w:t>
      </w:r>
    </w:p>
    <w:p w14:paraId="7DA62833" w14:textId="77777777" w:rsidR="00FA0633" w:rsidRPr="004C1683" w:rsidRDefault="00FA0633" w:rsidP="00FA0633">
      <w:pPr>
        <w:numPr>
          <w:ilvl w:val="1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trike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În vederea rezolvării eventualelor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contestaţii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prin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aceeaşi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decizie va fi nominalizată o Comisie de analiză a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contestaţiilor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formată din trei persoane, altele decât cele din Comisia de concurs. </w:t>
      </w:r>
    </w:p>
    <w:p w14:paraId="6A612B74" w14:textId="77777777" w:rsidR="00FA0633" w:rsidRPr="004C1683" w:rsidRDefault="00FA0633" w:rsidP="00FA0633">
      <w:pPr>
        <w:spacing w:after="0" w:line="360" w:lineRule="auto"/>
        <w:ind w:left="360"/>
        <w:jc w:val="both"/>
        <w:rPr>
          <w:rFonts w:ascii="Times New Roman" w:hAnsi="Times New Roman" w:cs="Times New Roman"/>
          <w:strike/>
          <w:sz w:val="24"/>
          <w:szCs w:val="24"/>
          <w:lang w:val="ro-RO"/>
        </w:rPr>
      </w:pPr>
    </w:p>
    <w:p w14:paraId="2CCCF5F5" w14:textId="77777777" w:rsidR="00FA0633" w:rsidRPr="004C1683" w:rsidRDefault="00FA0633" w:rsidP="00FA0633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>Desfăşurarea</w:t>
      </w:r>
      <w:proofErr w:type="spellEnd"/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concursului:</w:t>
      </w:r>
    </w:p>
    <w:p w14:paraId="4E04724C" w14:textId="77777777" w:rsidR="00FA0633" w:rsidRPr="004C1683" w:rsidRDefault="00FA0633" w:rsidP="00FA0633">
      <w:pPr>
        <w:numPr>
          <w:ilvl w:val="1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Comisia de concurs clasifică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studenţii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/ elevii în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funcţie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de punctajele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obţinute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>, ținând cont de îndeplinirea următoarele criterii: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FA0633" w:rsidRPr="000441E4" w14:paraId="25736380" w14:textId="77777777" w:rsidTr="00FB7C1F">
        <w:tc>
          <w:tcPr>
            <w:tcW w:w="9016" w:type="dxa"/>
            <w:gridSpan w:val="2"/>
            <w:shd w:val="clear" w:color="auto" w:fill="BFBFBF"/>
          </w:tcPr>
          <w:p w14:paraId="1BA1B397" w14:textId="77777777" w:rsidR="00FA0633" w:rsidRPr="004C1683" w:rsidRDefault="00FA0633" w:rsidP="00FA063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IMPLICAREA ÎN ORGANIZAȚII NON-PROFIT, NEGUVERNAMENTALE, APOLITICE</w:t>
            </w:r>
          </w:p>
        </w:tc>
      </w:tr>
      <w:tr w:rsidR="00FA0633" w:rsidRPr="004C1683" w14:paraId="7CDCC54F" w14:textId="77777777" w:rsidTr="00FB7C1F">
        <w:tc>
          <w:tcPr>
            <w:tcW w:w="4957" w:type="dxa"/>
            <w:shd w:val="clear" w:color="auto" w:fill="auto"/>
            <w:vAlign w:val="center"/>
          </w:tcPr>
          <w:p w14:paraId="56BCEF74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 Numărul de organizații în care studentul/ elevul a fost implicat*</w:t>
            </w:r>
          </w:p>
          <w:p w14:paraId="293B19B2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*studentul/ elevul trebuie să dovedească o implicare de cel puțin 6 luni 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5B55925C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 puncte/ONG</w:t>
            </w:r>
          </w:p>
        </w:tc>
      </w:tr>
      <w:tr w:rsidR="00FA0633" w:rsidRPr="000441E4" w14:paraId="42C566DE" w14:textId="77777777" w:rsidTr="00FB7C1F">
        <w:tc>
          <w:tcPr>
            <w:tcW w:w="4957" w:type="dxa"/>
            <w:shd w:val="clear" w:color="auto" w:fill="auto"/>
            <w:vAlign w:val="center"/>
          </w:tcPr>
          <w:p w14:paraId="3C8A6B80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 Rolul pe care studentul/ elevul l-a avut în cadrul ONG-ului</w:t>
            </w:r>
          </w:p>
        </w:tc>
        <w:tc>
          <w:tcPr>
            <w:tcW w:w="4059" w:type="dxa"/>
            <w:shd w:val="clear" w:color="auto" w:fill="auto"/>
            <w:vAlign w:val="center"/>
          </w:tcPr>
          <w:p w14:paraId="254AD476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 puncte/funcție</w:t>
            </w: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conducere (coordonator departament, vice-președinte, președinte) </w:t>
            </w:r>
          </w:p>
        </w:tc>
      </w:tr>
      <w:tr w:rsidR="00FA0633" w:rsidRPr="004C1683" w14:paraId="16F5C534" w14:textId="77777777" w:rsidTr="00FB7C1F">
        <w:tc>
          <w:tcPr>
            <w:tcW w:w="9016" w:type="dxa"/>
            <w:gridSpan w:val="2"/>
            <w:shd w:val="clear" w:color="auto" w:fill="BFBFBF"/>
          </w:tcPr>
          <w:p w14:paraId="2A082EBD" w14:textId="77777777" w:rsidR="00FA0633" w:rsidRPr="004C1683" w:rsidRDefault="00FA0633" w:rsidP="00FA063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PROIECTE ÎN BENEFICIUL COMUNITĂȚII</w:t>
            </w:r>
          </w:p>
        </w:tc>
      </w:tr>
      <w:tr w:rsidR="00FA0633" w:rsidRPr="000441E4" w14:paraId="489E23FD" w14:textId="77777777" w:rsidTr="00FB7C1F">
        <w:tc>
          <w:tcPr>
            <w:tcW w:w="4957" w:type="dxa"/>
            <w:shd w:val="clear" w:color="auto" w:fill="auto"/>
          </w:tcPr>
          <w:p w14:paraId="6D9B2CBC" w14:textId="77777777" w:rsidR="00FA0633" w:rsidRPr="004C1683" w:rsidRDefault="00FA0633" w:rsidP="00FA063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Rolul pe care studentul/ elevul l-a avut în cadrul proiectului*</w:t>
            </w:r>
          </w:p>
          <w:p w14:paraId="7510281F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*sunt evaluate numai proiectele care au un impact vizibil în comunitatea din care face parte studentul/ elevul sau pentru care a fost gândit proiectul. </w:t>
            </w:r>
          </w:p>
        </w:tc>
        <w:tc>
          <w:tcPr>
            <w:tcW w:w="4059" w:type="dxa"/>
            <w:shd w:val="clear" w:color="auto" w:fill="auto"/>
          </w:tcPr>
          <w:p w14:paraId="07E028F9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 puncte</w:t>
            </w: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/voluntar </w:t>
            </w:r>
          </w:p>
          <w:p w14:paraId="3D9087BD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 puncte</w:t>
            </w: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/coordonator </w:t>
            </w:r>
          </w:p>
          <w:p w14:paraId="6CB428BC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 puncte</w:t>
            </w: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/</w:t>
            </w:r>
            <w:proofErr w:type="spellStart"/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initiator</w:t>
            </w:r>
            <w:proofErr w:type="spellEnd"/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*</w:t>
            </w:r>
          </w:p>
          <w:p w14:paraId="568BB4A6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*studentul/ elevul trebuie să dovedească faptul că proiectul este o inițiativă proprie </w:t>
            </w:r>
          </w:p>
        </w:tc>
      </w:tr>
      <w:tr w:rsidR="00FA0633" w:rsidRPr="004C1683" w14:paraId="5BB04C8E" w14:textId="77777777" w:rsidTr="00FB7C1F">
        <w:tc>
          <w:tcPr>
            <w:tcW w:w="4957" w:type="dxa"/>
            <w:shd w:val="clear" w:color="auto" w:fill="auto"/>
          </w:tcPr>
          <w:p w14:paraId="75D77906" w14:textId="77777777" w:rsidR="00FA0633" w:rsidRPr="004C1683" w:rsidRDefault="00FA0633" w:rsidP="00FA063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Impactul proiectului în comunitate</w:t>
            </w:r>
          </w:p>
          <w:p w14:paraId="664ACC65" w14:textId="77777777" w:rsidR="00FA0633" w:rsidRPr="004C1683" w:rsidRDefault="00FA0633" w:rsidP="00FA0633">
            <w:pPr>
              <w:numPr>
                <w:ilvl w:val="1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Modul în care proiectul rezolvă o problemă identificată, facilitează un proces/acțiune sau inovează  </w:t>
            </w:r>
          </w:p>
        </w:tc>
        <w:tc>
          <w:tcPr>
            <w:tcW w:w="4059" w:type="dxa"/>
            <w:shd w:val="clear" w:color="auto" w:fill="auto"/>
          </w:tcPr>
          <w:p w14:paraId="5E902A36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Cel mult </w:t>
            </w: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 puncte/proiect</w:t>
            </w:r>
            <w:r w:rsidRPr="004C168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funcție de evaluarea comisiei</w:t>
            </w:r>
          </w:p>
        </w:tc>
      </w:tr>
      <w:tr w:rsidR="00FA0633" w:rsidRPr="004C1683" w14:paraId="6499E61B" w14:textId="77777777" w:rsidTr="00FB7C1F">
        <w:trPr>
          <w:trHeight w:val="234"/>
        </w:trPr>
        <w:tc>
          <w:tcPr>
            <w:tcW w:w="9016" w:type="dxa"/>
            <w:gridSpan w:val="2"/>
            <w:shd w:val="clear" w:color="auto" w:fill="BFBFBF"/>
          </w:tcPr>
          <w:p w14:paraId="1575D5DB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C. ACTIVITATEA ACADEMICĂ</w:t>
            </w:r>
          </w:p>
        </w:tc>
      </w:tr>
      <w:tr w:rsidR="00FA0633" w:rsidRPr="004C1683" w14:paraId="665E2ECE" w14:textId="77777777" w:rsidTr="00FB7C1F">
        <w:tc>
          <w:tcPr>
            <w:tcW w:w="4957" w:type="dxa"/>
            <w:shd w:val="clear" w:color="auto" w:fill="auto"/>
          </w:tcPr>
          <w:p w14:paraId="7F1D98CF" w14:textId="77777777" w:rsidR="00FA0633" w:rsidRPr="004C1683" w:rsidRDefault="00FA0633" w:rsidP="00FA063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C168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Media pe semestrul precedent desfăşurării concursului între 8.00 şi 9.00 </w:t>
            </w:r>
          </w:p>
          <w:p w14:paraId="2D7C38D5" w14:textId="77777777" w:rsidR="00FA0633" w:rsidRPr="004C1683" w:rsidRDefault="00FA0633" w:rsidP="00FB7C1F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19D1222" w14:textId="77777777" w:rsidR="00FA0633" w:rsidRPr="004C1683" w:rsidRDefault="00FA0633" w:rsidP="00FA063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C1683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Media pe semestrul precedent desfăşurării concursului între 9.00 şi 10.00</w:t>
            </w:r>
          </w:p>
        </w:tc>
        <w:tc>
          <w:tcPr>
            <w:tcW w:w="4059" w:type="dxa"/>
            <w:shd w:val="clear" w:color="auto" w:fill="auto"/>
          </w:tcPr>
          <w:p w14:paraId="51CD5228" w14:textId="77777777" w:rsidR="00FA0633" w:rsidRPr="004C1683" w:rsidRDefault="00FA0633" w:rsidP="00FA0633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puncte</w:t>
            </w:r>
          </w:p>
          <w:p w14:paraId="4CD59E06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A1C2FAF" w14:textId="77777777" w:rsidR="00FA0633" w:rsidRPr="004C1683" w:rsidRDefault="00FA0633" w:rsidP="00FB7C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4C168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      10  puncte</w:t>
            </w:r>
          </w:p>
        </w:tc>
      </w:tr>
    </w:tbl>
    <w:p w14:paraId="463673B2" w14:textId="77777777" w:rsidR="00FA0633" w:rsidRPr="004C1683" w:rsidRDefault="00FA0633" w:rsidP="00FA063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2014BDB" w14:textId="77777777" w:rsidR="00FA0633" w:rsidRPr="004C1683" w:rsidRDefault="00FA0633" w:rsidP="00FA0633">
      <w:pPr>
        <w:numPr>
          <w:ilvl w:val="1"/>
          <w:numId w:val="4"/>
        </w:numPr>
        <w:spacing w:after="0" w:line="360" w:lineRule="auto"/>
        <w:ind w:left="426" w:hanging="78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Clasamentul final se realizează pe baza punctajului întrunit de fiecare candidat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se face public prin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afişare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la avizier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electronic pe website-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ul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universității/ unității școlare. În caz de egalitate de punctaj, criteriile de departajare vor fi stabilite de fiecare beneficiar.</w:t>
      </w:r>
    </w:p>
    <w:p w14:paraId="76C7E261" w14:textId="77777777" w:rsidR="00FA0633" w:rsidRPr="004C1683" w:rsidRDefault="00FA0633" w:rsidP="00FA0633">
      <w:pPr>
        <w:numPr>
          <w:ilvl w:val="0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>Condiţiile</w:t>
      </w:r>
      <w:proofErr w:type="spellEnd"/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acordare a bursei:</w:t>
      </w:r>
    </w:p>
    <w:p w14:paraId="6D448A90" w14:textId="70E0339A" w:rsidR="00FA0633" w:rsidRPr="004C1683" w:rsidRDefault="00FA0633" w:rsidP="00FA0633">
      <w:pPr>
        <w:numPr>
          <w:ilvl w:val="1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Acordarea bursei nominale va fi efectuată de unitatea școlară/ universitate în baza clasamentului final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afişat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a semnării unui contract de bursă, semnare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condiţionată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de executarea contractului de sponsorizare încheiat cu URSUS BREWERIES S.A. Bursa </w:t>
      </w:r>
      <w:r w:rsidRPr="004C1683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nominală URSUS se acordă pentru întreaga perioadă a anului universitar </w:t>
      </w: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>202</w:t>
      </w:r>
      <w:r w:rsidR="00157378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>–202</w:t>
      </w:r>
      <w:r w:rsidR="00157378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Pr="004C16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se achită lunar. </w:t>
      </w:r>
    </w:p>
    <w:p w14:paraId="7984A2BB" w14:textId="77777777" w:rsidR="00FA0633" w:rsidRPr="004C1683" w:rsidRDefault="00FA0633" w:rsidP="00FA0633">
      <w:pPr>
        <w:numPr>
          <w:ilvl w:val="1"/>
          <w:numId w:val="4"/>
        </w:numPr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În cazul transferării bursierului în altă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instituţie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4C1683">
        <w:rPr>
          <w:rFonts w:ascii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4C1683">
        <w:rPr>
          <w:rFonts w:ascii="Times New Roman" w:hAnsi="Times New Roman" w:cs="Times New Roman"/>
          <w:sz w:val="24"/>
          <w:szCs w:val="24"/>
          <w:lang w:val="ro-RO"/>
        </w:rPr>
        <w:t xml:space="preserve"> superior sau exmatriculării, achitarea bursei nominale încetează. </w:t>
      </w:r>
    </w:p>
    <w:p w14:paraId="7063D9D7" w14:textId="77777777" w:rsidR="00EE0ED8" w:rsidRPr="00FA0633" w:rsidRDefault="00EE0ED8">
      <w:pPr>
        <w:rPr>
          <w:lang w:val="ro-RO"/>
        </w:rPr>
      </w:pPr>
    </w:p>
    <w:sectPr w:rsidR="00EE0ED8" w:rsidRPr="00FA0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65F0F"/>
    <w:multiLevelType w:val="hybridMultilevel"/>
    <w:tmpl w:val="ECCCF7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C50095"/>
    <w:multiLevelType w:val="hybridMultilevel"/>
    <w:tmpl w:val="1C925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9B0"/>
    <w:multiLevelType w:val="hybridMultilevel"/>
    <w:tmpl w:val="E2E865EA"/>
    <w:lvl w:ilvl="0" w:tplc="F3442E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16940"/>
    <w:multiLevelType w:val="hybridMultilevel"/>
    <w:tmpl w:val="4894D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75E74"/>
    <w:multiLevelType w:val="multilevel"/>
    <w:tmpl w:val="2D46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72258528">
    <w:abstractNumId w:val="0"/>
  </w:num>
  <w:num w:numId="2" w16cid:durableId="1926912852">
    <w:abstractNumId w:val="3"/>
  </w:num>
  <w:num w:numId="3" w16cid:durableId="1927767425">
    <w:abstractNumId w:val="1"/>
  </w:num>
  <w:num w:numId="4" w16cid:durableId="2003044452">
    <w:abstractNumId w:val="4"/>
  </w:num>
  <w:num w:numId="5" w16cid:durableId="21766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33"/>
    <w:rsid w:val="00157378"/>
    <w:rsid w:val="009270EF"/>
    <w:rsid w:val="00CC44F7"/>
    <w:rsid w:val="00DF450A"/>
    <w:rsid w:val="00EE0ED8"/>
    <w:rsid w:val="00F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3ED03"/>
  <w15:chartTrackingRefBased/>
  <w15:docId w15:val="{E99EC161-7AB9-4159-A019-370DBC42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DAVID ŞTEFAN DIMINESCU</cp:lastModifiedBy>
  <cp:revision>4</cp:revision>
  <dcterms:created xsi:type="dcterms:W3CDTF">2024-12-16T09:36:00Z</dcterms:created>
  <dcterms:modified xsi:type="dcterms:W3CDTF">2024-12-18T12:28:00Z</dcterms:modified>
</cp:coreProperties>
</file>